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424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2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KENDALL LAURA C</w:t>
              </w:r>
            </w:hyperlink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HomeTrust Bancshares,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HTB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HOMETRUST BANCSHARES, INC.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 WOODFIN STREET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ASHEVILLE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28801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27.51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24.95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-2546350</wp:posOffset>
            </wp:positionV>
            <wp:extent cx="29210" cy="2551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5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award under Issuer's 2022 Omnibus Incentive Plan with the following vesting schedule: 100% on May 31,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option granted under Issuer's 2013 Omnibus Incentive Plan with the following vesting schedule: 100% on February 11, 2020.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option granted under Issuer's 2013 Omnibus Incentive Plan with the following vesting schedule: 100% on February 11, 2019.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option granted under Issuer's 2013 Omnibus Incentive Plan with the following vesting schedule: 20% increments on February 11, 2018, 2019, 2020, 2021 and 2022.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Tony J. VunCannon,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008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Laura 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Kendall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397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6809" TargetMode="External"/><Relationship Id="rId14" Type="http://schemas.openxmlformats.org/officeDocument/2006/relationships/hyperlink" Target="http://www.sec.gov/cgi-bin/browse-edgar?action=getcompany&amp;CIK=0001538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2026-06-03T10:55:48Z</dcterms:created>
  <dcterms:modified xsi:type="dcterms:W3CDTF">2026-06-03T10:55:48Z</dcterms:modified>
</cp:coreProperties>
</file>